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b="0" l="0" r="0" t="0"/>
            <wp:wrapNone/>
            <wp:docPr id="159700702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b="0" l="0" r="0" t="0"/>
            <wp:wrapNone/>
            <wp:docPr id="159700702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699633"/>
                <wp:effectExtent b="0" l="0" r="0" t="0"/>
                <wp:wrapSquare wrapText="bothSides" distB="45720" distT="45720" distL="114300" distR="114300"/>
                <wp:docPr id="159700702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699633"/>
                <wp:effectExtent b="0" l="0" r="0" t="0"/>
                <wp:wrapSquare wrapText="bothSides" distB="45720" distT="45720" distL="114300" distR="114300"/>
                <wp:docPr id="159700702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85640" cy="6996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65836"/>
                <wp:effectExtent b="0" l="0" r="0" t="0"/>
                <wp:wrapSquare wrapText="bothSides" distB="45720" distT="45720" distL="114300" distR="114300"/>
                <wp:docPr id="1597007022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o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65836"/>
                <wp:effectExtent b="0" l="0" r="0" t="0"/>
                <wp:wrapSquare wrapText="bothSides" distB="45720" distT="45720" distL="114300" distR="114300"/>
                <wp:docPr id="159700702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43450" cy="10658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2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2: Il quadro di riferimento di TINKER - principi dell’apprendimento autentico e guida pratica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2.2: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L’apprendimento autentico nell’istruzione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Docenti della scuola primarie e secondarie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minuti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Le e i discenti devono aver completato l’unità 2.1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Analizzare, giudicare in maniera critica e valutare l’efficacia dei compiti dell’apprendimento autentico esaminando i risultati e il </w:t>
            </w:r>
            <w:r w:rsidDel="00000000" w:rsidR="00000000" w:rsidRPr="00000000">
              <w:rPr>
                <w:i w:val="1"/>
                <w:rtl w:val="0"/>
              </w:rPr>
              <w:t xml:space="preserve">feedback </w:t>
            </w:r>
            <w:r w:rsidDel="00000000" w:rsidR="00000000" w:rsidRPr="00000000">
              <w:rPr>
                <w:rtl w:val="0"/>
              </w:rPr>
              <w:t xml:space="preserve">relativo ai casi di studio nelle classi di informatica della scuola primaria.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Sviluppare e perfezionare un piano di lezione basato sull’apprendimento autentico, contenente almeno tre elementi del modello dell’apprendimento autentico.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Un computer portatile, un proiettore, una connessione a Internet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Dispense per l’attività 2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Post-it di carta di grandi dimensioni per il lavoro di gruppo dell’attività 3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Penne, pennarelli, evidenziatori e fogli di carta</w:t>
              <w:br w:type="textWrapping"/>
              <w:t xml:space="preserve">Per le sessioni online, i gruppi possono scrivere su una lavagna digitale, ad es.:</w:t>
              <w:br w:type="textWrapping"/>
              <w:t xml:space="preserve">-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miro </w:t>
              </w:r>
            </w:hyperlink>
            <w:r w:rsidDel="00000000" w:rsidR="00000000" w:rsidRPr="00000000">
              <w:rPr>
                <w:rtl w:val="0"/>
              </w:rPr>
              <w:br w:type="textWrapping"/>
              <w:t xml:space="preserve">-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canva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44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Una breve panoramica dell’argomento e del contesto della lezione. Spiega perché l’argomento è importante e in che modo è legato alle conoscenze precedentemente acquisite.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Attività rompighiaccio: Memory (10 minuti)</w:t>
            </w:r>
          </w:p>
          <w:p w:rsidR="00000000" w:rsidDel="00000000" w:rsidP="00000000" w:rsidRDefault="00000000" w:rsidRPr="00000000" w14:paraId="0000004C">
            <w:pPr>
              <w:pStyle w:val="Heading3"/>
              <w:rPr/>
            </w:pPr>
            <w:bookmarkStart w:colFirst="0" w:colLast="0" w:name="_heading=h.rr2of0zf9jd7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Diapositiva 6: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Dividi le e i discenti in piccoli gruppi e distribuisci a ciascuno un foglio di carta. Poi, imposta un timer di 2 minuti, durante i quali i gruppi dovranno scrivere tutti gli elementi (9) dell’apprendimento autentico che riescono a ricordare. Il gruppo che per primo completa l’attività sarà il vincitore di questo primo turno.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Secondo turno: i gruppi dovranno ricordare o elaborare esempi di applicazione per ciascun elemento legato all’ambito dell’informatica. Il gruppo che per primo raccoglie i nove esempi sarà il vincitore del turno.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Facoltativo: per rendere l’attività più stimolante tramite un elemento della </w:t>
            </w:r>
            <w:r w:rsidDel="00000000" w:rsidR="00000000" w:rsidRPr="00000000">
              <w:rPr>
                <w:i w:val="1"/>
                <w:rtl w:val="0"/>
              </w:rPr>
              <w:t xml:space="preserve">gamification</w:t>
            </w:r>
            <w:r w:rsidDel="00000000" w:rsidR="00000000" w:rsidRPr="00000000">
              <w:rPr>
                <w:rtl w:val="0"/>
              </w:rPr>
              <w:t xml:space="preserve">, porta in classe una campanella e incita il gruppo a terminare l’attività per correre a suonarla.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ripassare i concetti appresi nell’unità 2.1 in maniera divertente e collaborativa.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/>
            </w:pPr>
            <w:bookmarkStart w:colFirst="0" w:colLast="0" w:name="_heading=h.css9k3mpsklk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2.  Individuare a turno l’apprendimento autentico nei casi studio (50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Diapositive 7-13: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Chiedi alle e ai discenti di dividersi in gruppi da 3 o 4. Distribuisci loro copie dei cinque esempi di lezioni selezionati sviluppati nel WP2. </w:t>
            </w:r>
            <w:r w:rsidDel="00000000" w:rsidR="00000000" w:rsidRPr="00000000">
              <w:rPr>
                <w:highlight w:val="yellow"/>
                <w:rtl w:val="0"/>
              </w:rPr>
              <w:t xml:space="preserve">(</w:t>
            </w:r>
            <w:hyperlink r:id="rId13">
              <w:r w:rsidDel="00000000" w:rsidR="00000000" w:rsidRPr="00000000">
                <w:rPr>
                  <w:color w:val="1155cc"/>
                  <w:highlight w:val="yellow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highlight w:val="yellow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gruppo, le e i discenti dovranno leggere i piani di lezione e individuare gli elementi dell’apprendimento autentico presenti. Serviti degli spunti per la discussione delle diapositive 8-12.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seguito, ciascuno gruppo, a turno, avrà 7/8  minuti per esaminare ciascun caso studio.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gli spunti sulla slide 13 per avviare una revisione dell’attività con la classe.</w:t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le e i discenti in un esercizio di individuazione degli elementi dell’apprendimento autentico.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x4ydl2ubuj92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3. Scrivere un’attività informatica basata sull’apprendimento autentico (30 minuti)</w:t>
            </w:r>
          </w:p>
          <w:p w:rsidR="00000000" w:rsidDel="00000000" w:rsidP="00000000" w:rsidRDefault="00000000" w:rsidRPr="00000000" w14:paraId="00000062">
            <w:pPr>
              <w:pStyle w:val="Heading3"/>
              <w:rPr/>
            </w:pPr>
            <w:bookmarkStart w:colFirst="0" w:colLast="0" w:name="_heading=h.gqhm0sc7a6ic" w:id="4"/>
            <w:bookmarkEnd w:id="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Diapositiva 14: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Chiedere alle e ai partecipanti di condividere l’argomento generale che desiderano trattare nel loro prossimo piano di lezione. Possono lavorare individualmente, oppure in gruppo in base all’argomento comune. Le e i partecipanti che non si sono preparati su un argomento da trattare possono riunirsi in uno stesso gruppo e stabilire un tema da esplorare insieme (massimo 3 persone per gruppo, per garantire una comunicazione e una collaborazione efficaci). Le e i partecipanti possono utilizzare il modello per i piani di lezioni di TINKER.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 gruppi dovranno sviluppare i seguenti elementi obbligatori dell’apprendimento autentico per la preparazione della loro lezione di informatica: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contesto autentico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compito autentico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 lezione deve, inoltre, integrare almeno altri tre elementi del modello dell’apprendimento autentico.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</w:t>
            </w:r>
            <w:r w:rsidDel="00000000" w:rsidR="00000000" w:rsidRPr="00000000">
              <w:rPr>
                <w:rtl w:val="0"/>
              </w:rPr>
              <w:t xml:space="preserve">: un esercizio pratico in cui le e i discenti applicano la conoscenza acquisita in merito di apprendimento autentico a propri piani di lezione per l’educazione informatica.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u8o4fmlrwe7h" w:id="5"/>
            <w:bookmarkEnd w:id="5"/>
            <w:r w:rsidDel="00000000" w:rsidR="00000000" w:rsidRPr="00000000">
              <w:rPr>
                <w:i w:val="0"/>
                <w:u w:val="single"/>
                <w:rtl w:val="0"/>
              </w:rPr>
              <w:t xml:space="preserve">4. Revisione e riflessione (5 minuti)</w:t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Guida le e i discenti seguendo gli spunti di riflessioni forniti dalla diapositiva 15. Se il tempo è sufficiente, avvia una discussione di classe.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Risultato:  </w:t>
            </w:r>
            <w:r w:rsidDel="00000000" w:rsidR="00000000" w:rsidRPr="00000000">
              <w:rPr>
                <w:rtl w:val="0"/>
              </w:rPr>
              <w:t xml:space="preserve">le e i discenti riflettono sulle attività e sui materiali dell’unità, ripassando quanto appreso.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L’attività 4 è preposta alla valutazione.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16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Le e i discenti dovranno riflettere su quanto appreso dall’unità durante l’attività 4 di revisione e riflessione.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first"/>
      <w:headerReference r:id="rId16" w:type="even"/>
      <w:footerReference r:id="rId17" w:type="default"/>
      <w:footerReference r:id="rId18" w:type="first"/>
      <w:footerReference r:id="rId19" w:type="even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b="0" l="0" r="0" t="0"/>
              <wp:wrapNone/>
              <wp:docPr id="159700702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b="0" l="0" r="0" t="0"/>
              <wp:wrapNone/>
              <wp:docPr id="159700702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62270" cy="714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-647064</wp:posOffset>
          </wp:positionH>
          <wp:positionV relativeFrom="paragraph">
            <wp:posOffset>254000</wp:posOffset>
          </wp:positionV>
          <wp:extent cx="1311275" cy="290195"/>
          <wp:effectExtent b="0" l="0" r="0" t="0"/>
          <wp:wrapNone/>
          <wp:docPr id="1597007026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2901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iro.com/online-whiteboard/" TargetMode="External"/><Relationship Id="rId10" Type="http://schemas.openxmlformats.org/officeDocument/2006/relationships/image" Target="media/image3.jpg"/><Relationship Id="rId13" Type="http://schemas.openxmlformats.org/officeDocument/2006/relationships/hyperlink" Target="https://drive.google.com/drive/folders/1hhmi8kcD66GzQqc4i-4liHb9UmIEysFZ?usp=sharing" TargetMode="External"/><Relationship Id="rId12" Type="http://schemas.openxmlformats.org/officeDocument/2006/relationships/hyperlink" Target="https://www.canva.com/online-whiteboard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header" Target="header3.xml"/><Relationship Id="rId14" Type="http://schemas.openxmlformats.org/officeDocument/2006/relationships/header" Target="header2.xml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3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9xtm9l8/kTfmhaU2oVKIgzpbcg==">CgMxLjAyDmgud2YzdWc5anUwczNnMg5oLnJyMm9mMHpmOWpkNzIOaC5jc3M5azNtcHNrbGsyDmgueDR5ZGwydWJ1ajkyMg5oLmdxaG0wc2M3YTZpYzIOaC51OG80Zm1scndlN2g4AHIhMVFIWi05SFJoQmdUWkZ1Wld5bk1sWFdqQmVvRUxfMzNf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2024-11-19T18:08:00Z</dcterms:created>
  <dc:creator>Helen</dc:creator>
</cp:coreProperties>
</file>